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78C" w:rsidRPr="00BC5878" w:rsidRDefault="00BC5878">
      <w:pPr>
        <w:jc w:val="center"/>
        <w:rPr>
          <w:rFonts w:ascii="Book Antiqua" w:hAnsi="Book Antiqua"/>
          <w:sz w:val="22"/>
          <w:szCs w:val="22"/>
        </w:rPr>
      </w:pPr>
      <w:r w:rsidRPr="00BC5878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2466975" cy="1552575"/>
            <wp:effectExtent l="0" t="0" r="0" b="0"/>
            <wp:docPr id="1" name="image01.jpg" descr="EPC-new 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PC-new logo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~~~~~~~~~~~~~~~~~~~~~~~~~~~~~~~~~~~~~~~~~~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 xml:space="preserve">Education Policy Center Newsletter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From The Independence Institute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bookmarkStart w:id="0" w:name="h.gjdgxs" w:colFirst="0" w:colLast="0"/>
      <w:bookmarkEnd w:id="0"/>
      <w:r w:rsidRPr="00BC5878">
        <w:rPr>
          <w:rFonts w:ascii="Book Antiqua" w:eastAsia="Quattrocento" w:hAnsi="Book Antiqua" w:cs="Quattrocento"/>
          <w:b/>
          <w:sz w:val="22"/>
          <w:szCs w:val="22"/>
        </w:rPr>
        <w:t>March 6</w:t>
      </w:r>
      <w:r w:rsidRPr="00BC5878">
        <w:rPr>
          <w:rFonts w:ascii="Book Antiqua" w:eastAsia="Quattrocento" w:hAnsi="Book Antiqua" w:cs="Quattrocento"/>
          <w:b/>
          <w:sz w:val="22"/>
          <w:szCs w:val="22"/>
        </w:rPr>
        <w:t>, 2015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~~~~~~~~~~~~~~~~~~~~~~~~~~~~~~~~~~~~~~~~~~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In this issue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-- </w:t>
      </w:r>
      <w:r w:rsidRPr="00BC5878">
        <w:rPr>
          <w:rFonts w:ascii="Book Antiqua" w:eastAsia="Quattrocento" w:hAnsi="Book Antiqua" w:cs="Quattrocento"/>
          <w:sz w:val="22"/>
          <w:szCs w:val="22"/>
        </w:rPr>
        <w:t>Report Points to Promise of Performance Pay in Harrison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-- </w:t>
      </w:r>
      <w:r w:rsidRPr="00BC5878">
        <w:rPr>
          <w:rFonts w:ascii="Book Antiqua" w:eastAsia="Quattrocento" w:hAnsi="Book Antiqua" w:cs="Quattrocento"/>
          <w:sz w:val="22"/>
          <w:szCs w:val="22"/>
        </w:rPr>
        <w:t>Covering Collective Bargaining and Other Sacred El</w:t>
      </w:r>
      <w:bookmarkStart w:id="1" w:name="_GoBack"/>
      <w:bookmarkEnd w:id="1"/>
      <w:r w:rsidRPr="00BC5878">
        <w:rPr>
          <w:rFonts w:ascii="Book Antiqua" w:eastAsia="Quattrocento" w:hAnsi="Book Antiqua" w:cs="Quattrocento"/>
          <w:sz w:val="22"/>
          <w:szCs w:val="22"/>
        </w:rPr>
        <w:t>ephants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-- </w:t>
      </w:r>
      <w:r w:rsidRPr="00BC5878">
        <w:rPr>
          <w:rFonts w:ascii="Book Antiqua" w:eastAsia="Quattrocento" w:hAnsi="Book Antiqua" w:cs="Quattrocento"/>
          <w:sz w:val="22"/>
          <w:szCs w:val="22"/>
        </w:rPr>
        <w:t>Center Digs Deeper into Testing Conversation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-- New Video Shines Light on Local School Choice Week Celebration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-- School Choice Captures Eddie’s Attention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Report Points to Promise of Performance</w:t>
      </w:r>
      <w:r w:rsidRPr="00BC5878">
        <w:rPr>
          <w:rFonts w:ascii="Book Antiqua" w:eastAsia="Quattrocento" w:hAnsi="Book Antiqua" w:cs="Quattrocento"/>
          <w:b/>
          <w:sz w:val="22"/>
          <w:szCs w:val="22"/>
        </w:rPr>
        <w:t xml:space="preserve"> Pay in Harrison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Generally speaking, effective education reform is not easy work. But it can lead to some promising results. Harrison School District 2 in Colorado Springs has broken the mold on K-12 compensation systems with its Effectiveness &amp; Results pr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ogram. In his new issue paper </w:t>
      </w:r>
      <w:hyperlink r:id="rId5">
        <w:r w:rsidRPr="00BC5878">
          <w:rPr>
            <w:rFonts w:ascii="Book Antiqua" w:eastAsia="Quattrocento" w:hAnsi="Book Antiqua" w:cs="Quattrocento"/>
            <w:i/>
            <w:color w:val="1155CC"/>
            <w:sz w:val="22"/>
            <w:szCs w:val="22"/>
            <w:u w:val="single"/>
          </w:rPr>
          <w:t>Performance Pay Pioneers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>, senior education policy analyst Ben DeGrow unpacks the plan and its sup</w:t>
      </w:r>
      <w:r w:rsidRPr="00BC5878">
        <w:rPr>
          <w:rFonts w:ascii="Book Antiqua" w:eastAsia="Quattrocento" w:hAnsi="Book Antiqua" w:cs="Quattrocento"/>
          <w:sz w:val="22"/>
          <w:szCs w:val="22"/>
        </w:rPr>
        <w:t>porting components, explores the essential ingredients of strong leadership and culture, and highlights some of the promising indicators Harrison has achieved thus far.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More from Ed Is Watching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6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Harrison: More about Real Performance Pay than Former Presidents</w:t>
        </w:r>
      </w:hyperlink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Covering Collective Bargaining and Other Sacred Elephants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Ben’s other new paper, an issue backgrounder on </w:t>
      </w:r>
      <w:hyperlink r:id="rId7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the state of K-12 union contract transparency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>, offers insights to citizens looking to keep tabs on their school districts’ open negotiations after Proposition 104. An earlier paper o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n collective bargaining reform earned Ben a mention and a citation in the new book </w:t>
      </w:r>
      <w:hyperlink r:id="rId8">
        <w:r w:rsidRPr="00BC5878">
          <w:rPr>
            <w:rFonts w:ascii="Book Antiqua" w:eastAsia="Quattrocento" w:hAnsi="Book Antiqua" w:cs="Quattrocento"/>
            <w:i/>
            <w:color w:val="1155CC"/>
            <w:sz w:val="22"/>
            <w:szCs w:val="22"/>
            <w:u w:val="single"/>
          </w:rPr>
          <w:t>Sacred Elephants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. Retired educators and co-authors Karen Kay Harvey and Donna Nicholson discussed their diagnosis and solutions for K-12 education both on </w:t>
      </w:r>
      <w:hyperlink r:id="rId9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a radio interview with Ben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and on </w:t>
      </w:r>
      <w:hyperlink r:id="rId10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 xml:space="preserve">a televised episode of the </w:t>
        </w:r>
      </w:hyperlink>
      <w:hyperlink r:id="rId11">
        <w:r w:rsidRPr="00BC5878">
          <w:rPr>
            <w:rFonts w:ascii="Book Antiqua" w:eastAsia="Quattrocento" w:hAnsi="Book Antiqua" w:cs="Quattrocento"/>
            <w:i/>
            <w:color w:val="1155CC"/>
            <w:sz w:val="22"/>
            <w:szCs w:val="22"/>
            <w:u w:val="single"/>
          </w:rPr>
          <w:t>Devil’s Advocate with Jon Caldara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>.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Center Digs Deeper into Testing Conversation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Legitimate concerns have been raised about the amount of standardized testing and the need for more flexibility, but credible measurements of student progress are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 needed to inform public school choice and to promote educator accountability. Following the timely release of policy analyst Ross Izard’s </w:t>
      </w:r>
      <w:hyperlink r:id="rId12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op-ed on the testing debate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, the complex issue remains a lively one at the State Capitol and State Board of Education. In his weekly K-12 radio </w:t>
      </w:r>
      <w:r w:rsidRPr="00BC5878">
        <w:rPr>
          <w:rFonts w:ascii="Book Antiqua" w:eastAsia="Quattrocento" w:hAnsi="Book Antiqua" w:cs="Quattrocento"/>
          <w:sz w:val="22"/>
          <w:szCs w:val="22"/>
        </w:rPr>
        <w:lastRenderedPageBreak/>
        <w:t xml:space="preserve">interviews, Ben discussed different facets of how the debate is shaping up with two education journalists, </w:t>
      </w:r>
      <w:proofErr w:type="spellStart"/>
      <w:r w:rsidRPr="00BC5878">
        <w:rPr>
          <w:rFonts w:ascii="Book Antiqua" w:eastAsia="Quattrocento" w:hAnsi="Book Antiqua" w:cs="Quattrocento"/>
          <w:sz w:val="22"/>
          <w:szCs w:val="22"/>
        </w:rPr>
        <w:t>Cha</w:t>
      </w:r>
      <w:r w:rsidRPr="00BC5878">
        <w:rPr>
          <w:rFonts w:ascii="Book Antiqua" w:eastAsia="Quattrocento" w:hAnsi="Book Antiqua" w:cs="Quattrocento"/>
          <w:sz w:val="22"/>
          <w:szCs w:val="22"/>
        </w:rPr>
        <w:t>lkbeat</w:t>
      </w:r>
      <w:proofErr w:type="spellEnd"/>
      <w:r w:rsidRPr="00BC5878">
        <w:rPr>
          <w:rFonts w:ascii="Book Antiqua" w:eastAsia="Quattrocento" w:hAnsi="Book Antiqua" w:cs="Quattrocento"/>
          <w:sz w:val="22"/>
          <w:szCs w:val="22"/>
        </w:rPr>
        <w:t xml:space="preserve"> Colorado’s </w:t>
      </w:r>
      <w:hyperlink r:id="rId13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Todd Engdahl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and the </w:t>
      </w:r>
      <w:r w:rsidRPr="00BC5878">
        <w:rPr>
          <w:rFonts w:ascii="Book Antiqua" w:eastAsia="Quattrocento" w:hAnsi="Book Antiqua" w:cs="Quattrocento"/>
          <w:i/>
          <w:sz w:val="22"/>
          <w:szCs w:val="22"/>
        </w:rPr>
        <w:t>Denver Post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’s </w:t>
      </w:r>
      <w:hyperlink r:id="rId14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Eric Gorski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>.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More from Ed Is Watching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15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 xml:space="preserve">Testing Issue Isn’t as </w:t>
        </w:r>
        <w:proofErr w:type="gramStart"/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Easy</w:t>
        </w:r>
        <w:proofErr w:type="gramEnd"/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 xml:space="preserve"> as 1-2-3, But You’ve Got to Start Some</w:t>
        </w:r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where</w:t>
        </w:r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16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State Board Gets Even Weirder on Testing Issue</w:t>
        </w:r>
      </w:hyperlink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New Video Shines Light on Local School Choice Week Celebration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As promised in our last newsletter, the Independence Institute has produced a terrific </w:t>
      </w:r>
      <w:hyperlink r:id="rId17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4-minute video on Denver’s recent National School Choice Week festivities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>, with narration by Ross and inte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rviews by Ben. Speaking of interviews by Ben, two of our recent K-12 radio segments featured important charter school topics:  Windsor Charter Academy principal </w:t>
      </w:r>
      <w:hyperlink r:id="rId18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Rebecca Teeples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discussed what sets her school apart, and </w:t>
      </w:r>
      <w:proofErr w:type="spellStart"/>
      <w:r w:rsidRPr="00BC5878">
        <w:rPr>
          <w:rFonts w:ascii="Book Antiqua" w:eastAsia="Quattrocento" w:hAnsi="Book Antiqua" w:cs="Quattrocento"/>
          <w:sz w:val="22"/>
          <w:szCs w:val="22"/>
        </w:rPr>
        <w:t>Northstar</w:t>
      </w:r>
      <w:proofErr w:type="spellEnd"/>
      <w:r w:rsidRPr="00BC5878">
        <w:rPr>
          <w:rFonts w:ascii="Book Antiqua" w:eastAsia="Quattrocento" w:hAnsi="Book Antiqua" w:cs="Quattrocento"/>
          <w:sz w:val="22"/>
          <w:szCs w:val="22"/>
        </w:rPr>
        <w:t xml:space="preserve"> Commercial Partners CEO </w:t>
      </w:r>
      <w:hyperlink r:id="rId19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Brian Watson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talked about the innovative Education Opportunity Fund.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>More from Ed Is Watching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0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Keeping the Conversat</w:t>
        </w:r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ion Going: Independence Institute’s New Video on National School Choice Week</w:t>
        </w:r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1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Give Me Serious Charter Policy Debate over Silly An</w:t>
        </w:r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ti-Charter Deception</w:t>
        </w:r>
      </w:hyperlink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 xml:space="preserve">School Choice Captures Eddie’s Attention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School choice developments across the nation (including Colorado) made the spotlight of young Eddie’s blog a few times in recent weeks, in addition to other key topics. Check out some of his n</w:t>
      </w:r>
      <w:r w:rsidRPr="00BC5878">
        <w:rPr>
          <w:rFonts w:ascii="Book Antiqua" w:eastAsia="Quattrocento" w:hAnsi="Book Antiqua" w:cs="Quattrocento"/>
          <w:sz w:val="22"/>
          <w:szCs w:val="22"/>
        </w:rPr>
        <w:t>ewer postings: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2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New ESA Momentum Could Make 2015 Year of School Choice Part II</w:t>
        </w:r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3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Another Victory for Choice: Alabama’s STC Program Wins the Day</w:t>
        </w:r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4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Overcoming the Gl</w:t>
        </w:r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oom, Focusing on the Sunshine of #</w:t>
        </w:r>
        <w:proofErr w:type="spellStart"/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SchoolChoice</w:t>
        </w:r>
        <w:proofErr w:type="spellEnd"/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5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Today’s Policy Field Trip to Senate Ed and the Discussion to Come</w:t>
        </w:r>
      </w:hyperlink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hyperlink r:id="rId26">
        <w:r w:rsidRPr="00BC5878">
          <w:rPr>
            <w:rFonts w:ascii="Book Antiqua" w:eastAsia="Quattrocento" w:hAnsi="Book Antiqua" w:cs="Quattrocento"/>
            <w:color w:val="1155CC"/>
            <w:sz w:val="22"/>
            <w:szCs w:val="22"/>
            <w:u w:val="single"/>
          </w:rPr>
          <w:t>Reading New ETC Report on Millennials Not Likely to Cheer You Up</w:t>
        </w:r>
      </w:hyperlink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Pamela Benigno, Director</w:t>
      </w:r>
      <w:r w:rsidRPr="00BC5878">
        <w:rPr>
          <w:rFonts w:ascii="Book Antiqua" w:eastAsia="Quattrocento" w:hAnsi="Book Antiqua" w:cs="Quattrocento"/>
          <w:sz w:val="22"/>
          <w:szCs w:val="22"/>
        </w:rPr>
        <w:br/>
        <w:t>Ben DeGrow, Senior Policy Analyst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Ross Izard, Policy Analyst</w:t>
      </w:r>
      <w:r w:rsidRPr="00BC5878">
        <w:rPr>
          <w:rFonts w:ascii="Book Antiqua" w:eastAsia="Quattrocento" w:hAnsi="Book Antiqua" w:cs="Quattrocento"/>
          <w:sz w:val="22"/>
          <w:szCs w:val="22"/>
        </w:rPr>
        <w:br/>
        <w:t>Marya</w:t>
      </w:r>
      <w:r w:rsidRPr="00BC5878">
        <w:rPr>
          <w:rFonts w:ascii="Book Antiqua" w:eastAsia="Quattrocento" w:hAnsi="Book Antiqua" w:cs="Quattrocento"/>
          <w:sz w:val="22"/>
          <w:szCs w:val="22"/>
        </w:rPr>
        <w:t xml:space="preserve"> DeGrow, Research Associate 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b/>
          <w:sz w:val="22"/>
          <w:szCs w:val="22"/>
        </w:rPr>
        <w:t xml:space="preserve">Contact Information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~~~~~~~~~~~~~~~~~~~~~~~~~~~~~~~~~~~~~~~~~~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proofErr w:type="gramStart"/>
      <w:r w:rsidRPr="00BC5878">
        <w:rPr>
          <w:rFonts w:ascii="Book Antiqua" w:eastAsia="Quattrocento" w:hAnsi="Book Antiqua" w:cs="Quattrocento"/>
          <w:sz w:val="22"/>
          <w:szCs w:val="22"/>
        </w:rPr>
        <w:t>email</w:t>
      </w:r>
      <w:proofErr w:type="gramEnd"/>
      <w:r w:rsidRPr="00BC5878">
        <w:rPr>
          <w:rFonts w:ascii="Book Antiqua" w:eastAsia="Quattrocento" w:hAnsi="Book Antiqua" w:cs="Quattrocento"/>
          <w:sz w:val="22"/>
          <w:szCs w:val="22"/>
        </w:rPr>
        <w:t xml:space="preserve">: </w:t>
      </w:r>
      <w:hyperlink r:id="rId27">
        <w:r w:rsidRPr="00BC5878">
          <w:rPr>
            <w:rFonts w:ascii="Book Antiqua" w:eastAsia="Quattrocento" w:hAnsi="Book Antiqua" w:cs="Quattrocento"/>
            <w:sz w:val="22"/>
            <w:szCs w:val="22"/>
            <w:u w:val="single"/>
          </w:rPr>
          <w:t>pam@i2i.org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proofErr w:type="gramStart"/>
      <w:r w:rsidRPr="00BC5878">
        <w:rPr>
          <w:rFonts w:ascii="Book Antiqua" w:eastAsia="Quattrocento" w:hAnsi="Book Antiqua" w:cs="Quattrocento"/>
          <w:sz w:val="22"/>
          <w:szCs w:val="22"/>
        </w:rPr>
        <w:t>phone</w:t>
      </w:r>
      <w:proofErr w:type="gramEnd"/>
      <w:r w:rsidRPr="00BC5878">
        <w:rPr>
          <w:rFonts w:ascii="Book Antiqua" w:eastAsia="Quattrocento" w:hAnsi="Book Antiqua" w:cs="Quattrocento"/>
          <w:sz w:val="22"/>
          <w:szCs w:val="22"/>
        </w:rPr>
        <w:t xml:space="preserve">: 303-279-6536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proofErr w:type="gramStart"/>
      <w:r w:rsidRPr="00BC5878">
        <w:rPr>
          <w:rFonts w:ascii="Book Antiqua" w:eastAsia="Quattrocento" w:hAnsi="Book Antiqua" w:cs="Quattrocento"/>
          <w:sz w:val="22"/>
          <w:szCs w:val="22"/>
        </w:rPr>
        <w:t>web</w:t>
      </w:r>
      <w:proofErr w:type="gramEnd"/>
      <w:r w:rsidRPr="00BC5878">
        <w:rPr>
          <w:rFonts w:ascii="Book Antiqua" w:eastAsia="Quattrocento" w:hAnsi="Book Antiqua" w:cs="Quattrocento"/>
          <w:sz w:val="22"/>
          <w:szCs w:val="22"/>
        </w:rPr>
        <w:t xml:space="preserve">: </w:t>
      </w:r>
      <w:hyperlink r:id="rId28">
        <w:r w:rsidRPr="00BC5878">
          <w:rPr>
            <w:rFonts w:ascii="Book Antiqua" w:eastAsia="Quattrocento" w:hAnsi="Book Antiqua" w:cs="Quattrocento"/>
            <w:color w:val="0000FF"/>
            <w:sz w:val="22"/>
            <w:szCs w:val="22"/>
            <w:u w:val="single"/>
          </w:rPr>
          <w:t>http://www.education.i2i.org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</w:t>
      </w: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>~~~~~~~~~~~~~~~~~~~~~~~~~~~~~~~~~~~~~~~~~~</w:t>
      </w:r>
    </w:p>
    <w:p w:rsidR="009B478C" w:rsidRPr="00BC5878" w:rsidRDefault="009B478C">
      <w:pPr>
        <w:rPr>
          <w:rFonts w:ascii="Book Antiqua" w:hAnsi="Book Antiqua"/>
          <w:sz w:val="22"/>
          <w:szCs w:val="22"/>
        </w:rPr>
      </w:pPr>
    </w:p>
    <w:p w:rsidR="009B478C" w:rsidRPr="00BC5878" w:rsidRDefault="00BC5878">
      <w:pPr>
        <w:rPr>
          <w:rFonts w:ascii="Book Antiqua" w:hAnsi="Book Antiqua"/>
          <w:sz w:val="22"/>
          <w:szCs w:val="22"/>
        </w:rPr>
      </w:pPr>
      <w:r w:rsidRPr="00BC5878">
        <w:rPr>
          <w:rFonts w:ascii="Book Antiqua" w:eastAsia="Quattrocento" w:hAnsi="Book Antiqua" w:cs="Quattrocento"/>
          <w:sz w:val="22"/>
          <w:szCs w:val="22"/>
        </w:rPr>
        <w:t xml:space="preserve">Would you like to unsubscribe from this Newsletter? </w:t>
      </w:r>
      <w:hyperlink r:id="rId29">
        <w:r w:rsidRPr="00BC5878">
          <w:rPr>
            <w:rFonts w:ascii="Book Antiqua" w:eastAsia="Quattrocento" w:hAnsi="Book Antiqua" w:cs="Quattrocento"/>
            <w:color w:val="0000FF"/>
            <w:sz w:val="22"/>
            <w:szCs w:val="22"/>
            <w:u w:val="single"/>
          </w:rPr>
          <w:t>Click here</w:t>
        </w:r>
      </w:hyperlink>
      <w:r w:rsidRPr="00BC5878">
        <w:rPr>
          <w:rFonts w:ascii="Book Antiqua" w:eastAsia="Quattrocento" w:hAnsi="Book Antiqua" w:cs="Quattrocento"/>
          <w:sz w:val="22"/>
          <w:szCs w:val="22"/>
        </w:rPr>
        <w:t xml:space="preserve"> and scroll to the bottom of the page.</w:t>
      </w:r>
    </w:p>
    <w:sectPr w:rsidR="009B478C" w:rsidRPr="00BC5878"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478C"/>
    <w:rsid w:val="009B478C"/>
    <w:rsid w:val="00B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EE6BD-36F6-471D-AAEA-39708F2F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2i.org/2015/02/the-state-of-k-12-union-contract-transparency/" TargetMode="External"/><Relationship Id="rId13" Type="http://schemas.openxmlformats.org/officeDocument/2006/relationships/hyperlink" Target="http://education.i2i.org/2015/02/amy-oliver-show-k-12-testing-funding-take-stage-at-state-capitol/" TargetMode="External"/><Relationship Id="rId18" Type="http://schemas.openxmlformats.org/officeDocument/2006/relationships/hyperlink" Target="http://education.i2i.org/2015/02/amy-oliver-show-successful-windsor-charter-to-open-high-school/" TargetMode="External"/><Relationship Id="rId26" Type="http://schemas.openxmlformats.org/officeDocument/2006/relationships/hyperlink" Target="http://www.ediswatching.org/2015/02/reading-new-ets-report-on-millennials-not-likely-to-cheer-you-u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swatching.org/2015/03/give-me-serious-charter-policy-debate-over-silly-anti-charter-deception/" TargetMode="External"/><Relationship Id="rId7" Type="http://schemas.openxmlformats.org/officeDocument/2006/relationships/hyperlink" Target="http://education.i2i.org/2015/02/the-state-of-k-12-union-contract-transparency/" TargetMode="External"/><Relationship Id="rId12" Type="http://schemas.openxmlformats.org/officeDocument/2006/relationships/hyperlink" Target="http://education.i2i.org/2015/01/colorados-k-12-testing-debate-what-should-stay-and-what-should-go/" TargetMode="External"/><Relationship Id="rId17" Type="http://schemas.openxmlformats.org/officeDocument/2006/relationships/hyperlink" Target="https://www.youtube.com/watch?v=M_t2qQxP6LI" TargetMode="External"/><Relationship Id="rId25" Type="http://schemas.openxmlformats.org/officeDocument/2006/relationships/hyperlink" Target="http://www.ediswatching.org/2015/02/todays-policy-field-trip-to-senate-ed-and-the-discussion-to-c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iswatching.org/2015/02/state-board-gets-even-weirder-on-testing-issue/" TargetMode="External"/><Relationship Id="rId20" Type="http://schemas.openxmlformats.org/officeDocument/2006/relationships/hyperlink" Target="http://www.ediswatching.org/2015/02/keeping-the-conversation-going-independence-institutes-new-video-on-national-school-choice-week/" TargetMode="External"/><Relationship Id="rId29" Type="http://schemas.openxmlformats.org/officeDocument/2006/relationships/hyperlink" Target="http://friedman.i2i.org/alerts/listinfo/educ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iswatching.org/2015/02/harrison-more-about-real-performance-pay-than-former-presidents/" TargetMode="External"/><Relationship Id="rId11" Type="http://schemas.openxmlformats.org/officeDocument/2006/relationships/hyperlink" Target="http://education.i2i.org/2015/03/devils-advocate-the-education-elephant-in-the-room/" TargetMode="External"/><Relationship Id="rId24" Type="http://schemas.openxmlformats.org/officeDocument/2006/relationships/hyperlink" Target="http://www.ediswatching.org/2015/02/overcoming-the-gloom-focusing-on-the-sunshine-of-schoolchoice/" TargetMode="External"/><Relationship Id="rId5" Type="http://schemas.openxmlformats.org/officeDocument/2006/relationships/hyperlink" Target="http://education.i2i.org/2015/02/performance-pay-pioneers-harrisons-effectiveness-and-results-raises-the-bar/" TargetMode="External"/><Relationship Id="rId15" Type="http://schemas.openxmlformats.org/officeDocument/2006/relationships/hyperlink" Target="http://www.ediswatching.org/2015/01/testing-issue-isnt-as-easy-as-1-2-3-but-youve-got-to-start-somewhere/" TargetMode="External"/><Relationship Id="rId23" Type="http://schemas.openxmlformats.org/officeDocument/2006/relationships/hyperlink" Target="http://www.ediswatching.org/2015/03/another-victory-for-choice-alabamas-stc-program-wins-the-day/" TargetMode="External"/><Relationship Id="rId28" Type="http://schemas.openxmlformats.org/officeDocument/2006/relationships/hyperlink" Target="http://www.education.i2i.org" TargetMode="External"/><Relationship Id="rId10" Type="http://schemas.openxmlformats.org/officeDocument/2006/relationships/hyperlink" Target="http://education.i2i.org/2015/03/devils-advocate-the-education-elephant-in-the-room/" TargetMode="External"/><Relationship Id="rId19" Type="http://schemas.openxmlformats.org/officeDocument/2006/relationships/hyperlink" Target="http://education.i2i.org/2015/03/amy-oliver-show-fund-helps-meet-charter-facilities-needs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education.i2i.org/2015/02/amy-oliver-show-veteran-educators-take-on-k-12-sacred-elephants/" TargetMode="External"/><Relationship Id="rId14" Type="http://schemas.openxmlformats.org/officeDocument/2006/relationships/hyperlink" Target="http://education.i2i.org/2015/02/amy-oliver-show-where-is-colorado-gop-on-education-reform/" TargetMode="External"/><Relationship Id="rId22" Type="http://schemas.openxmlformats.org/officeDocument/2006/relationships/hyperlink" Target="http://www.ediswatching.org/2015/02/new-esa-momentum-could-make-2015-year-of-school-choice-part-ii/" TargetMode="External"/><Relationship Id="rId27" Type="http://schemas.openxmlformats.org/officeDocument/2006/relationships/hyperlink" Target="mailto:pam@i2i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2015-03-06T15:54:00Z</dcterms:created>
  <dcterms:modified xsi:type="dcterms:W3CDTF">2015-03-06T15:54:00Z</dcterms:modified>
</cp:coreProperties>
</file>